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DEE" w:rsidRDefault="004C5DEE" w:rsidP="004C5DEE"/>
    <w:p w:rsidR="004C5DEE" w:rsidRDefault="004C5DEE" w:rsidP="004C5DEE">
      <w:pPr>
        <w:ind w:left="28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ДОКЛАД ЗА ИЗПЪЛНЕНИЕТО НА  ЧЕТВЪРТО ТРИМЕСЕЧИЕ НА УТВЪРДЕНИЯ БЮДЖЕТ    НА ОУ“ХРИСТО СМИРНЕНСКИ“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гр.Пазарджик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към 31.12.2025 год.</w:t>
      </w:r>
    </w:p>
    <w:p w:rsidR="004C5DEE" w:rsidRDefault="004C5DEE" w:rsidP="004C5DEE">
      <w:pPr>
        <w:ind w:left="283"/>
        <w:jc w:val="center"/>
      </w:pPr>
    </w:p>
    <w:tbl>
      <w:tblPr>
        <w:tblW w:w="12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440"/>
        <w:gridCol w:w="280"/>
        <w:gridCol w:w="2772"/>
        <w:gridCol w:w="280"/>
        <w:gridCol w:w="1460"/>
        <w:gridCol w:w="280"/>
        <w:gridCol w:w="1020"/>
        <w:gridCol w:w="280"/>
        <w:gridCol w:w="1320"/>
        <w:gridCol w:w="280"/>
        <w:gridCol w:w="1100"/>
        <w:gridCol w:w="1720"/>
        <w:gridCol w:w="960"/>
      </w:tblGrid>
      <w:tr w:rsidR="004C5DEE" w:rsidTr="004C5DEE">
        <w:trPr>
          <w:gridAfter w:val="2"/>
          <w:wAfter w:w="2680" w:type="dxa"/>
          <w:trHeight w:val="38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bg-BG"/>
              </w:rPr>
              <w:t>№ §</w:t>
            </w:r>
          </w:p>
        </w:tc>
        <w:tc>
          <w:tcPr>
            <w:tcW w:w="30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u w:val="single"/>
                <w:lang w:eastAsia="bg-BG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u w:val="single"/>
                <w:lang w:eastAsia="bg-BG"/>
              </w:rPr>
              <w:t>ПЛАН БЮДЖЕТ 2025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322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-УЧИЛИЩЕ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338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-РЕСУРСНО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Разход към 31.12.2025 год.</w:t>
            </w:r>
          </w:p>
        </w:tc>
      </w:tr>
      <w:tr w:rsidR="004C5DEE" w:rsidTr="004C5DEE">
        <w:trPr>
          <w:gridAfter w:val="2"/>
          <w:wAfter w:w="2680" w:type="dxa"/>
          <w:trHeight w:val="30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01-01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Заплати 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1 295 689 лв.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90 000 лв.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1 385689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 471120 лв.</w:t>
            </w:r>
          </w:p>
        </w:tc>
      </w:tr>
      <w:tr w:rsidR="004C5DEE" w:rsidTr="004C5DEE">
        <w:trPr>
          <w:gridAfter w:val="2"/>
          <w:wAfter w:w="2680" w:type="dxa"/>
          <w:trHeight w:val="300"/>
        </w:trPr>
        <w:tc>
          <w:tcPr>
            <w:tcW w:w="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02-00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Други плащания и възнаграждения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180 335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2500 лв.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182 835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116 226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02-02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гр.договори</w:t>
            </w:r>
            <w:proofErr w:type="spell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29 000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29 000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19 532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02-05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СБКО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45 000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1500 лв.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46 500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23 005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02-08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Обещтетения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на персонала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94 335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94 335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61 430 лв.</w:t>
            </w:r>
          </w:p>
        </w:tc>
      </w:tr>
      <w:tr w:rsidR="004C5DEE" w:rsidTr="004C5DEE">
        <w:trPr>
          <w:gridAfter w:val="2"/>
          <w:wAfter w:w="2680" w:type="dxa"/>
          <w:trHeight w:val="30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02-09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Болнични от работодател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12 000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1 000 лв.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13 000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12 259 лв.</w:t>
            </w:r>
          </w:p>
        </w:tc>
      </w:tr>
      <w:tr w:rsidR="004C5DEE" w:rsidTr="004C5DEE">
        <w:trPr>
          <w:gridAfter w:val="2"/>
          <w:wAfter w:w="2680" w:type="dxa"/>
          <w:trHeight w:val="30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05-00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Осигуровки от работодател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318 000 лв.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20 600 лв.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338 600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320 190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05-51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ДОО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145 000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9 700 лв.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154 700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159 696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05-52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УПФ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61 000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3 900 лв.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70 700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53 703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05-60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ЗОВ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70 000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4 400 лв.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74 400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69 220 лв.</w:t>
            </w:r>
          </w:p>
        </w:tc>
      </w:tr>
      <w:tr w:rsidR="004C5DEE" w:rsidTr="004C5DEE">
        <w:trPr>
          <w:gridAfter w:val="2"/>
          <w:wAfter w:w="2680" w:type="dxa"/>
          <w:trHeight w:val="30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05-80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ДЗПО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42 000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2 600 лв.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44 600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37 571 лв.</w:t>
            </w:r>
          </w:p>
        </w:tc>
      </w:tr>
      <w:tr w:rsidR="004C5DEE" w:rsidTr="004C5DEE">
        <w:trPr>
          <w:gridAfter w:val="2"/>
          <w:wAfter w:w="2680" w:type="dxa"/>
          <w:trHeight w:val="30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10-00</w:t>
            </w:r>
          </w:p>
        </w:tc>
        <w:tc>
          <w:tcPr>
            <w:tcW w:w="3052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ИЗДРЪЖКА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>316 697</w:t>
            </w: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 xml:space="preserve"> лв.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1112 лв.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317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bg-BG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809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111 024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10-11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Храна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37 000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35 538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10-12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Медикаменти-лекарства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291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0,00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10-13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Облекло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3 700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3 700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5 100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10-14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Учебници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26 198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26 198 лв. 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26 193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10-15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Материали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64 013 лв.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112 лв.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64 125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75 525 лв.</w:t>
            </w:r>
          </w:p>
        </w:tc>
      </w:tr>
      <w:tr w:rsidR="004C5DEE" w:rsidTr="004C5DEE">
        <w:trPr>
          <w:gridAfter w:val="2"/>
          <w:wAfter w:w="2680" w:type="dxa"/>
          <w:trHeight w:val="31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10-16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Ел.енергия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, вода и газ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70 000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70 000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29 674 лв.</w:t>
            </w:r>
          </w:p>
        </w:tc>
      </w:tr>
      <w:tr w:rsidR="004C5DEE" w:rsidTr="004C5DEE">
        <w:trPr>
          <w:gridAfter w:val="2"/>
          <w:wAfter w:w="2680" w:type="dxa"/>
          <w:trHeight w:val="31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10-20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Външни услуги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77 106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1 000 лв.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78 109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58 087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10-30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Текущ ремонт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50 000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50 000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0,00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10-51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Командировки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3 569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3 569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2030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52-03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Придобиване на друго оборудване, машини и съоръжения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32 950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32 950 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ВСИЧКО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2 110721.00 лв.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114 212 лв.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2 224933 лв.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5DEE" w:rsidRDefault="004C5D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2 172633лв.</w:t>
            </w:r>
          </w:p>
        </w:tc>
      </w:tr>
      <w:tr w:rsidR="004C5DEE" w:rsidTr="004C5DEE">
        <w:trPr>
          <w:gridAfter w:val="2"/>
          <w:wAfter w:w="2680" w:type="dxa"/>
          <w:trHeight w:val="290"/>
        </w:trPr>
        <w:tc>
          <w:tcPr>
            <w:tcW w:w="720" w:type="dxa"/>
            <w:gridSpan w:val="2"/>
            <w:noWrap/>
            <w:vAlign w:val="bottom"/>
            <w:hideMark/>
          </w:tcPr>
          <w:p w:rsidR="004C5DEE" w:rsidRDefault="004C5DEE"/>
        </w:tc>
        <w:tc>
          <w:tcPr>
            <w:tcW w:w="3052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74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38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</w:tr>
      <w:tr w:rsidR="004C5DEE" w:rsidTr="004C5DEE">
        <w:trPr>
          <w:trHeight w:val="290"/>
        </w:trPr>
        <w:tc>
          <w:tcPr>
            <w:tcW w:w="280" w:type="dxa"/>
            <w:noWrap/>
            <w:vAlign w:val="bottom"/>
            <w:hideMark/>
          </w:tcPr>
          <w:p w:rsidR="004C5DEE" w:rsidRDefault="004C5DEE">
            <w:bookmarkStart w:id="0" w:name="_GoBack"/>
            <w:bookmarkEnd w:id="0"/>
          </w:p>
        </w:tc>
        <w:tc>
          <w:tcPr>
            <w:tcW w:w="72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3052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74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282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</w:tr>
      <w:tr w:rsidR="004C5DEE" w:rsidTr="004C5DEE">
        <w:trPr>
          <w:trHeight w:val="290"/>
        </w:trPr>
        <w:tc>
          <w:tcPr>
            <w:tcW w:w="280" w:type="dxa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72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3052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74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282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</w:tr>
      <w:tr w:rsidR="004C5DEE" w:rsidTr="004C5DEE">
        <w:trPr>
          <w:trHeight w:val="290"/>
        </w:trPr>
        <w:tc>
          <w:tcPr>
            <w:tcW w:w="280" w:type="dxa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72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3052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74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282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</w:tr>
      <w:tr w:rsidR="004C5DEE" w:rsidTr="004C5DEE">
        <w:trPr>
          <w:trHeight w:val="290"/>
        </w:trPr>
        <w:tc>
          <w:tcPr>
            <w:tcW w:w="280" w:type="dxa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72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3052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74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160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2820" w:type="dxa"/>
            <w:gridSpan w:val="2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4C5DEE" w:rsidRDefault="004C5DEE">
            <w:pPr>
              <w:spacing w:after="0" w:line="256" w:lineRule="auto"/>
              <w:rPr>
                <w:sz w:val="20"/>
                <w:szCs w:val="20"/>
                <w:lang w:eastAsia="bg-BG"/>
              </w:rPr>
            </w:pPr>
          </w:p>
        </w:tc>
      </w:tr>
    </w:tbl>
    <w:p w:rsidR="004C5DEE" w:rsidRDefault="004C5DEE" w:rsidP="004C5DEE"/>
    <w:p w:rsidR="004C5DEE" w:rsidRDefault="004C5DEE" w:rsidP="004C5DEE"/>
    <w:p w:rsidR="004C5DEE" w:rsidRDefault="004C5DEE" w:rsidP="004C5DEE">
      <w:r>
        <w:t>Изготвил:                                                                                                Директор:</w:t>
      </w:r>
    </w:p>
    <w:p w:rsidR="004C5DEE" w:rsidRDefault="004C5DEE" w:rsidP="004C5DEE">
      <w:r>
        <w:t xml:space="preserve">/Христина </w:t>
      </w:r>
      <w:proofErr w:type="spellStart"/>
      <w:r>
        <w:t>Зяпкова</w:t>
      </w:r>
      <w:proofErr w:type="spellEnd"/>
      <w:r>
        <w:t>-счетоводител/                                            /Стоянка Златанова-Илинова/</w:t>
      </w:r>
    </w:p>
    <w:p w:rsidR="004C5DEE" w:rsidRDefault="004C5DEE" w:rsidP="004C5DEE"/>
    <w:p w:rsidR="004C5DEE" w:rsidRDefault="004C5DEE" w:rsidP="004C5DEE"/>
    <w:p w:rsidR="00B679A2" w:rsidRDefault="00B679A2"/>
    <w:sectPr w:rsidR="00B67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CD"/>
    <w:rsid w:val="004C5DEE"/>
    <w:rsid w:val="00B679A2"/>
    <w:rsid w:val="00D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9190C3-512D-4448-82C3-7A1AE54A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D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2026-01-22T13:14:00Z</dcterms:created>
  <dcterms:modified xsi:type="dcterms:W3CDTF">2026-01-22T13:14:00Z</dcterms:modified>
</cp:coreProperties>
</file>