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2C" w:rsidRDefault="0005562C" w:rsidP="0005562C">
      <w:pPr>
        <w:ind w:left="-567" w:right="-1283"/>
        <w:jc w:val="center"/>
      </w:pPr>
      <w:r>
        <w:rPr>
          <w:b/>
        </w:rPr>
        <w:t xml:space="preserve">  </w:t>
      </w:r>
      <w:r w:rsidR="007B3F9D">
        <w:rPr>
          <w:b/>
          <w:noProof/>
        </w:rPr>
        <mc:AlternateContent>
          <mc:Choice Requires="wps">
            <w:drawing>
              <wp:inline distT="0" distB="0" distL="0" distR="0">
                <wp:extent cx="4777740" cy="441960"/>
                <wp:effectExtent l="0" t="0" r="0" b="2730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774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9D" w:rsidRDefault="007B3F9D" w:rsidP="007B3F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2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YtfAIAAOwEAAAOAAAAZHJzL2Uyb0RvYy54bWysVMtu2zAQvBfoPxC8O5IMOYkEy4EfcS9p&#10;GyAucqZFymIrPkrSloyi/94lRadpeymK6iDzsZrd2Zn1/G4QHToxY7mSFc6uUoyYrBXl8lDhT7vt&#10;5BYj64ikpFOSVfjMLL5bvH0z73XJpqpVHWUGAYi0Za8r3DqnyySxdcsEsVdKMwmXjTKCONiaQ0IN&#10;6QFddMk0Ta+TXhmqjaqZtXC6GS/xIuA3Davdx6axzKGuwlCbC28T3nv/ThZzUh4M0S2vYxnkH6oQ&#10;hEtI+gK1IY6go+F/QAleG2VV465qJRLVNLxmgQOwydLf2Dy1RLPABZpj9Uub7P+DrT+cHg3itMI5&#10;RpIIkOgZOro0DmW+Ob22JcQ8aYhyw0oNIHIgavWDqr9YJNW6JfLAlsaovmWEQnEZQMXjQGF31oAb&#10;TndscPeUgw4BPnmFPyazPtO+f68ofEKOToVsQ2OEby80DEEJoOT5RT1ARDUc5jfw5HBVw12eZ8V1&#10;kDch5eVrbax7x5RAflFhA+4I6OT0YB2QhdBLiE8GwHAeV6Oa34psmqeraTHZXt/eTPJtPpsUN+nt&#10;JM2KFSTMi3yz/e5Bs7xsOaVMPnDJLs7K8r9TLnp89ETwFuorXMyms7H3quN0y7vO12bNYb/uDDoR&#10;b/HweOGAi30dZtRR0uB2L9J9XDvCu3Gd/FpxAIAGXH5DI4JaXqBRKjfsh2iRvaJn0K2HQaqw/Xok&#10;hoEHjmKtoCgQvjFKRF/5va/bd3o3PBOjoxwO0j12l0EKmvi4A42+JPQzAIkO5hO4opmnGpnG4Kjf&#10;iBp6o5fgoC0P4nqrjXUCKb+BkQr04vj7mX29D1E//6QWPwAAAP//AwBQSwMEFAAGAAgAAAAhAC/U&#10;u6vaAAAABAEAAA8AAABkcnMvZG93bnJldi54bWxMj81OwzAQhO9IvIO1SNyo04oGCHGqih+JAxdK&#10;uG/jJY6I11G8bdK3x3CBy0qjGc18W25m36sjjbELbGC5yEARN8F23Bqo35+vbkFFQbbYByYDJ4qw&#10;qc7PSixsmPiNjjtpVSrhWKABJzIUWsfGkce4CANx8j7D6FGSHFttR5xSue/1Ksty7bHjtOBwoAdH&#10;zdfu4A2I2O3yVD/5+PIxvz5OLmvWWBtzeTFv70EJzfIXhh/8hA5VYtqHA9uoegPpEfm9ybtZr65B&#10;7Q3kdznoqtT/4atvAAAA//8DAFBLAQItABQABgAIAAAAIQC2gziS/gAAAOEBAAATAAAAAAAAAAAA&#10;AAAAAAAAAABbQ29udGVudF9UeXBlc10ueG1sUEsBAi0AFAAGAAgAAAAhADj9If/WAAAAlAEAAAsA&#10;AAAAAAAAAAAAAAAALwEAAF9yZWxzLy5yZWxzUEsBAi0AFAAGAAgAAAAhAFCzFi18AgAA7AQAAA4A&#10;AAAAAAAAAAAAAAAALgIAAGRycy9lMm9Eb2MueG1sUEsBAi0AFAAGAAgAAAAhAC/Uu6vaAAAABA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7B3F9D" w:rsidRDefault="007B3F9D" w:rsidP="007B3F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u w:val="single"/>
        </w:rPr>
        <w:t xml:space="preserve">    </w:t>
      </w:r>
      <w:r>
        <w:t xml:space="preserve"> </w:t>
      </w:r>
    </w:p>
    <w:p w:rsidR="0005562C" w:rsidRDefault="0005562C" w:rsidP="0005562C">
      <w:pPr>
        <w:jc w:val="center"/>
        <w:rPr>
          <w:sz w:val="18"/>
        </w:rPr>
      </w:pPr>
      <w:r>
        <w:t xml:space="preserve">                              </w:t>
      </w:r>
    </w:p>
    <w:p w:rsidR="00144307" w:rsidRDefault="00144307" w:rsidP="001F1C11">
      <w:pPr>
        <w:ind w:right="-1283"/>
      </w:pPr>
      <w:r>
        <w:rPr>
          <w:noProof/>
        </w:rPr>
        <w:drawing>
          <wp:inline distT="0" distB="0" distL="0" distR="0" wp14:anchorId="7EC94AD6" wp14:editId="0B48F479">
            <wp:extent cx="571500" cy="533400"/>
            <wp:effectExtent l="0" t="0" r="0" b="0"/>
            <wp:docPr id="3" name="Картина 3" descr="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7B3F9D">
        <w:rPr>
          <w:b/>
          <w:noProof/>
        </w:rPr>
        <mc:AlternateContent>
          <mc:Choice Requires="wps">
            <w:drawing>
              <wp:inline distT="0" distB="0" distL="0" distR="0">
                <wp:extent cx="4777740" cy="441960"/>
                <wp:effectExtent l="0" t="0" r="0" b="2730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774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9D" w:rsidRPr="00C36652" w:rsidRDefault="007B3F9D" w:rsidP="007B3F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C36652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76.2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IGfgIAAPMEAAAOAAAAZHJzL2Uyb0RvYy54bWysVMtu2zAQvBfoPxC823pATiIhcpDEcS9p&#10;GyAucqZFymIrPkrSlowi/94lRSdpeymK6kDxsZrdnRnq8moUPTowY7mSNc7mKUZMNopyuavxl816&#10;doGRdURS0ivJanxkFl8t37+7HHTFctWpnjKDAETaatA17pzTVZLYpmOC2LnSTMJhq4wgDpZml1BD&#10;BkAXfZKn6VkyKEO1UQ2zFnZX0yFeBvy2ZY373LaWOdTXGGpzYTRh3PoxWV6SameI7ngTyyD/UIUg&#10;XELSF6gVcQTtDf8DSvDGKKtaN2+USFTb8oaFHqCbLP2tm8eOaBZ6AXKsfqHJ/j/Y5tPhwSBOa5xj&#10;JIkAiZ6A0WvjUO7JGbStIOZRQ5Qbb9QIIodGrb5XzTeLpLrtiNyxa2PU0DFCobgMoOJ2aGFz1IAb&#10;djdsdHeUgw6Zh0/e4E/JrM+0HT4qCp+QvVMh29ga4ekFwhCUAEoeX9QDRNTAZnEOTwFHDZwVRVae&#10;BXkTUp2+1sa6D0wJ5Cc1NuCOgE4O99b5akh1CvHJABj242xS80eZ5UV6k5ez9dnF+axYF4tZeZ5e&#10;zNKsvIGERVms1s8eNCuqjlPK5D2X7OSsrPg75aLHJ08Eb6GhxuUiX0zcq57TNe97X5s1u+1tb9CB&#10;eIuHJzALJ2/DjNpLGtzuRbqLc0d4P82TXysOZAABp3cgIqjlBZqkcuN2DNYJUnolt4oeQb4B7lON&#10;7fc9MQyssBe3CmoD/VujRLSXX/vyPeGb8YkYHVVxkPWhP92nII2P29FoT0K/ApDo4ZpCy2jhO44N&#10;x+Ao44QaKNLXYKQ1Dxq/1hntBzcrdBn/Av7qvl2HqNd/1fInAAAA//8DAFBLAwQUAAYACAAAACEA&#10;L9S7q9oAAAAEAQAADwAAAGRycy9kb3ducmV2LnhtbEyPzU7DMBCE70i8g7VI3KjTigYIcaqKH4kD&#10;F0q4b+MljojXUbxt0rfHcIHLSqMZzXxbbmbfqyONsQtsYLnIQBE3wXbcGqjfn69uQUVBttgHJgMn&#10;irCpzs9KLGyY+I2OO2lVKuFYoAEnMhRax8aRx7gIA3HyPsPoUZIcW21HnFK57/Uqy3LtseO04HCg&#10;B0fN1+7gDYjY7fJUP/n48jG/Pk4ua9ZYG3N5MW/vQQnN8heGH/yEDlVi2ocD26h6A+kR+b3Ju1mv&#10;rkHtDeR3Oeiq1P/hq28AAAD//wMAUEsBAi0AFAAGAAgAAAAhALaDOJL+AAAA4QEAABMAAAAAAAAA&#10;AAAAAAAAAAAAAFtDb250ZW50X1R5cGVzXS54bWxQSwECLQAUAAYACAAAACEAOP0h/9YAAACUAQAA&#10;CwAAAAAAAAAAAAAAAAAvAQAAX3JlbHMvLnJlbHNQSwECLQAUAAYACAAAACEAD+kCBn4CAADzBAAA&#10;DgAAAAAAAAAAAAAAAAAuAgAAZHJzL2Uyb0RvYy54bWxQSwECLQAUAAYACAAAACEAL9S7q9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7B3F9D" w:rsidRPr="00C36652" w:rsidRDefault="007B3F9D" w:rsidP="007B3F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</w:t>
                      </w:r>
                      <w:r w:rsidRPr="00C36652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u w:val="single"/>
        </w:rPr>
        <w:t xml:space="preserve">    </w:t>
      </w:r>
      <w:r>
        <w:t xml:space="preserve"> </w:t>
      </w:r>
    </w:p>
    <w:p w:rsidR="00144307" w:rsidRDefault="00144307" w:rsidP="00144307">
      <w:pPr>
        <w:jc w:val="center"/>
        <w:rPr>
          <w:sz w:val="18"/>
          <w:lang w:val="ru-RU"/>
        </w:rPr>
      </w:pPr>
      <w:r>
        <w:t xml:space="preserve">                              </w:t>
      </w:r>
      <w:r>
        <w:rPr>
          <w:sz w:val="18"/>
        </w:rPr>
        <w:sym w:font="Wingdings" w:char="F028"/>
      </w:r>
      <w:r>
        <w:rPr>
          <w:sz w:val="18"/>
        </w:rPr>
        <w:t xml:space="preserve"> Директор:;GSM 0885671018;Е-mail: ouhrs.pz@abv.bg - Канцелария:034/</w:t>
      </w:r>
      <w:r>
        <w:rPr>
          <w:sz w:val="18"/>
          <w:lang w:val="ru-RU"/>
        </w:rPr>
        <w:t>988940</w:t>
      </w:r>
    </w:p>
    <w:p w:rsidR="00613F1F" w:rsidRDefault="00613F1F" w:rsidP="00144307">
      <w:pPr>
        <w:jc w:val="center"/>
        <w:rPr>
          <w:sz w:val="18"/>
          <w:lang w:val="ru-RU"/>
        </w:rPr>
      </w:pPr>
    </w:p>
    <w:p w:rsidR="00613F1F" w:rsidRDefault="00613F1F" w:rsidP="00144307">
      <w:pPr>
        <w:jc w:val="center"/>
        <w:rPr>
          <w:sz w:val="18"/>
          <w:lang w:val="ru-RU"/>
        </w:rPr>
      </w:pPr>
    </w:p>
    <w:p w:rsidR="00613F1F" w:rsidRDefault="00613F1F" w:rsidP="00144307">
      <w:pPr>
        <w:jc w:val="center"/>
        <w:rPr>
          <w:sz w:val="18"/>
          <w:lang w:val="ru-RU"/>
        </w:rPr>
      </w:pPr>
    </w:p>
    <w:p w:rsidR="00613F1F" w:rsidRDefault="00613F1F" w:rsidP="00144307">
      <w:pPr>
        <w:jc w:val="center"/>
        <w:rPr>
          <w:sz w:val="18"/>
        </w:rPr>
      </w:pPr>
    </w:p>
    <w:p w:rsidR="001F1C11" w:rsidRDefault="00144307" w:rsidP="001F1C11">
      <w:pPr>
        <w:jc w:val="center"/>
        <w:rPr>
          <w:b/>
        </w:rPr>
      </w:pPr>
      <w:r w:rsidRPr="001F1C11">
        <w:rPr>
          <w:b/>
        </w:rPr>
        <w:t>Отчет за изпълнение на плана за  квалификационна дейност в</w:t>
      </w:r>
    </w:p>
    <w:p w:rsidR="00144307" w:rsidRPr="001F1C11" w:rsidRDefault="00144307" w:rsidP="001F1C11">
      <w:pPr>
        <w:jc w:val="center"/>
        <w:rPr>
          <w:b/>
        </w:rPr>
      </w:pPr>
      <w:r w:rsidRPr="001F1C11">
        <w:rPr>
          <w:b/>
        </w:rPr>
        <w:t>ОУ,,Христо Смирненски“ гр. Пазарджик през учебната 2018/2019 г.</w:t>
      </w:r>
    </w:p>
    <w:p w:rsidR="00144307" w:rsidRPr="00877E44" w:rsidRDefault="00144307" w:rsidP="001F1C11">
      <w:pPr>
        <w:ind w:firstLine="708"/>
        <w:jc w:val="center"/>
      </w:pPr>
    </w:p>
    <w:p w:rsidR="00933304" w:rsidRDefault="00144307" w:rsidP="00933304">
      <w:pPr>
        <w:ind w:firstLine="708"/>
      </w:pPr>
      <w:r w:rsidRPr="00877E44">
        <w:t>Квалификационната дейност в ОУ,,Христо Смирненски“ гр. Пазарджик в своите разновидности се изпълни  съгласно приетия на ПС и утвърден от директора със заповед № 884-455/12.09.2018   год. план за квалификационна дейност. При изготвянето му се взе предвид анализа  за квалификационната дейност от миналата учебна година  и усилията през 2018-2019 уч</w:t>
      </w:r>
      <w:r w:rsidR="00C2173A" w:rsidRPr="00877E44">
        <w:t>ебна година бяха насочени към обучения, които да са в максимална полза за учителите</w:t>
      </w:r>
      <w:r w:rsidRPr="00877E44">
        <w:t xml:space="preserve">. В резултат на съзнателно подбраната тематика </w:t>
      </w:r>
      <w:r w:rsidR="00C2173A" w:rsidRPr="00877E44">
        <w:t>за обучения</w:t>
      </w:r>
      <w:r w:rsidRPr="00877E44">
        <w:t xml:space="preserve"> и </w:t>
      </w:r>
      <w:r w:rsidR="00C2173A" w:rsidRPr="00877E44">
        <w:t>прилагането на наученото в педагогическата практика</w:t>
      </w:r>
      <w:r w:rsidRPr="00877E44">
        <w:t xml:space="preserve"> се подобри професионалната компетентност на учителите. Външноинституционалната дейност  всключва  обучение на  17 учители и 1 счетоводител,   1 ЗАТС</w:t>
      </w:r>
      <w:r w:rsidR="00C2173A" w:rsidRPr="00877E44">
        <w:t xml:space="preserve"> и 1 заместник директор по теми свързани  със </w:t>
      </w:r>
      <w:r w:rsidRPr="00877E44">
        <w:t>спецификата на работата</w:t>
      </w:r>
      <w:r w:rsidR="00C2173A" w:rsidRPr="00877E44">
        <w:t>.</w:t>
      </w:r>
      <w:r w:rsidRPr="00877E44">
        <w:t xml:space="preserve">   </w:t>
      </w:r>
    </w:p>
    <w:p w:rsidR="00613F1F" w:rsidRDefault="00613F1F" w:rsidP="00933304">
      <w:pPr>
        <w:ind w:firstLine="708"/>
      </w:pPr>
    </w:p>
    <w:p w:rsidR="00613F1F" w:rsidRDefault="00613F1F" w:rsidP="00933304">
      <w:pPr>
        <w:ind w:firstLine="708"/>
      </w:pPr>
    </w:p>
    <w:p w:rsidR="00613F1F" w:rsidRPr="00877E44" w:rsidRDefault="00613F1F" w:rsidP="00093551"/>
    <w:p w:rsidR="00144307" w:rsidRDefault="00144307" w:rsidP="00933304">
      <w:pPr>
        <w:ind w:firstLine="708"/>
        <w:rPr>
          <w:b/>
          <w:vertAlign w:val="subscript"/>
        </w:rPr>
      </w:pPr>
      <w:r w:rsidRPr="00877E44">
        <w:rPr>
          <w:sz w:val="36"/>
          <w:szCs w:val="36"/>
        </w:rPr>
        <w:t xml:space="preserve"> </w:t>
      </w:r>
      <w:r w:rsidR="00C2173A" w:rsidRPr="00B624B0">
        <w:rPr>
          <w:b/>
          <w:sz w:val="36"/>
          <w:szCs w:val="36"/>
          <w:vertAlign w:val="subscript"/>
        </w:rPr>
        <w:t>Темите по които  се обучаваха</w:t>
      </w:r>
      <w:r w:rsidRPr="00B624B0">
        <w:rPr>
          <w:b/>
          <w:sz w:val="36"/>
          <w:szCs w:val="36"/>
          <w:vertAlign w:val="subscript"/>
        </w:rPr>
        <w:t xml:space="preserve">  учителите са следните</w:t>
      </w:r>
      <w:r w:rsidRPr="00B624B0">
        <w:rPr>
          <w:b/>
          <w:vertAlign w:val="subscript"/>
        </w:rPr>
        <w:t>:</w:t>
      </w:r>
    </w:p>
    <w:p w:rsidR="00613F1F" w:rsidRDefault="00613F1F" w:rsidP="00093551">
      <w:pPr>
        <w:rPr>
          <w:b/>
          <w:vertAlign w:val="subscript"/>
        </w:rPr>
      </w:pPr>
    </w:p>
    <w:p w:rsidR="00613F1F" w:rsidRPr="00B624B0" w:rsidRDefault="00613F1F" w:rsidP="00933304">
      <w:pPr>
        <w:ind w:firstLine="708"/>
        <w:rPr>
          <w:b/>
        </w:rPr>
      </w:pPr>
    </w:p>
    <w:p w:rsidR="00144307" w:rsidRPr="00877E44" w:rsidRDefault="00144307" w:rsidP="00144307">
      <w:r w:rsidRPr="00877E44">
        <w:t>-Методи и форми на обучението за компетентност по АЕ.</w:t>
      </w:r>
    </w:p>
    <w:p w:rsidR="00144307" w:rsidRPr="00877E44" w:rsidRDefault="00144307" w:rsidP="00144307">
      <w:r w:rsidRPr="00877E44">
        <w:t>-Експеримент и разработване на проекти – активни методи на разработване на научни изследвания.</w:t>
      </w:r>
    </w:p>
    <w:p w:rsidR="00144307" w:rsidRPr="00877E44" w:rsidRDefault="00144307" w:rsidP="00144307">
      <w:r w:rsidRPr="00877E44">
        <w:t>-Техники за овладяване на професионалния стрес.Ефективни подходи при комуникация с родителите  в образователния процес.</w:t>
      </w:r>
    </w:p>
    <w:p w:rsidR="00144307" w:rsidRPr="00877E44" w:rsidRDefault="00144307" w:rsidP="00144307">
      <w:r w:rsidRPr="00877E44">
        <w:t>-Хиперактивност и дефицит на внимание.</w:t>
      </w:r>
    </w:p>
    <w:p w:rsidR="00144307" w:rsidRPr="00877E44" w:rsidRDefault="00144307" w:rsidP="00144307">
      <w:r w:rsidRPr="00877E44">
        <w:t>-Гражданското образование в обучението по история и цивилизации.</w:t>
      </w:r>
    </w:p>
    <w:p w:rsidR="00144307" w:rsidRPr="00877E44" w:rsidRDefault="00144307" w:rsidP="00144307">
      <w:r w:rsidRPr="00877E44">
        <w:t>-Актуални проблеми по ФВС.</w:t>
      </w:r>
    </w:p>
    <w:p w:rsidR="00144307" w:rsidRPr="00877E44" w:rsidRDefault="00144307" w:rsidP="00144307">
      <w:r w:rsidRPr="00877E44">
        <w:t>-Презентационни и комуникационни умения.</w:t>
      </w:r>
    </w:p>
    <w:p w:rsidR="00144307" w:rsidRPr="00877E44" w:rsidRDefault="00144307" w:rsidP="00144307">
      <w:r w:rsidRPr="00877E44">
        <w:t>-Емоционална компетентност.</w:t>
      </w:r>
    </w:p>
    <w:p w:rsidR="00144307" w:rsidRPr="00877E44" w:rsidRDefault="00144307" w:rsidP="00144307">
      <w:r w:rsidRPr="00877E44">
        <w:t>-Сензорна интеграция.</w:t>
      </w:r>
    </w:p>
    <w:p w:rsidR="00144307" w:rsidRPr="00877E44" w:rsidRDefault="00144307" w:rsidP="00144307">
      <w:r w:rsidRPr="00877E44">
        <w:t>-Методика на безопасност при движение про пътищата.</w:t>
      </w:r>
    </w:p>
    <w:p w:rsidR="00933304" w:rsidRDefault="00144307" w:rsidP="00144307">
      <w:r w:rsidRPr="00877E44">
        <w:t>- Работа</w:t>
      </w:r>
      <w:r w:rsidR="00933304" w:rsidRPr="00877E44">
        <w:t xml:space="preserve"> с надарени деца и деца със СОП.</w:t>
      </w:r>
    </w:p>
    <w:p w:rsidR="00B624B0" w:rsidRDefault="00B624B0" w:rsidP="00B624B0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 w:rsidRPr="00877E44">
        <w:t xml:space="preserve">Училището участва по </w:t>
      </w:r>
      <w:r w:rsidRPr="00877E44">
        <w:rPr>
          <w:lang w:eastAsia="en-US"/>
        </w:rPr>
        <w:t>Проект BG05M2OP001-2.010-0001„Квалификация за професионално развитие на педагогическите специалисти“ по ОПРЧР , като училище- възложител  по предпочетена и</w:t>
      </w:r>
      <w:r>
        <w:rPr>
          <w:lang w:eastAsia="en-US"/>
        </w:rPr>
        <w:t xml:space="preserve"> предложена от учителите  тема </w:t>
      </w:r>
      <w:r w:rsidRPr="00877E44">
        <w:rPr>
          <w:lang w:eastAsia="en-US"/>
        </w:rPr>
        <w:t xml:space="preserve"> </w:t>
      </w:r>
      <w:r>
        <w:rPr>
          <w:lang w:eastAsia="en-US"/>
        </w:rPr>
        <w:t>,,  Технологии за формиране и ра</w:t>
      </w:r>
      <w:r w:rsidRPr="00877E44">
        <w:rPr>
          <w:lang w:eastAsia="en-US"/>
        </w:rPr>
        <w:t>звитие на ключови ком</w:t>
      </w:r>
      <w:r>
        <w:rPr>
          <w:lang w:eastAsia="en-US"/>
        </w:rPr>
        <w:t xml:space="preserve">петентности“. Повишаването на професионалната квалификация значително подобри </w:t>
      </w:r>
      <w:r w:rsidR="00613F1F">
        <w:rPr>
          <w:lang w:eastAsia="en-US"/>
        </w:rPr>
        <w:t>резултатите от ОВП в училището.</w:t>
      </w:r>
    </w:p>
    <w:p w:rsidR="008D1E4C" w:rsidRDefault="008D1E4C" w:rsidP="00B624B0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</w:p>
    <w:p w:rsidR="008D1E4C" w:rsidRPr="008D1E4C" w:rsidRDefault="008D1E4C" w:rsidP="008D1E4C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 w:rsidRPr="008D1E4C">
        <w:rPr>
          <w:lang w:eastAsia="en-US"/>
        </w:rPr>
        <w:lastRenderedPageBreak/>
        <w:t>Вътрешно институционална квалификация:</w:t>
      </w:r>
    </w:p>
    <w:p w:rsidR="008D1E4C" w:rsidRPr="008D1E4C" w:rsidRDefault="008D1E4C" w:rsidP="008D1E4C">
      <w:pPr>
        <w:pStyle w:val="Header"/>
        <w:pBdr>
          <w:bottom w:val="double" w:sz="4" w:space="31" w:color="auto"/>
        </w:pBdr>
        <w:rPr>
          <w:lang w:eastAsia="en-US"/>
        </w:rPr>
      </w:pPr>
      <w:r w:rsidRPr="008D1E4C">
        <w:rPr>
          <w:lang w:eastAsia="en-US"/>
        </w:rPr>
        <w:t>През 2018-2019 учебна година 10 учители успешно завършиха обучение на тема: ,,Релационни и емоционални компетентности по програма,, Еразъм+“и бе отчетено за вътрешноинституционална квалификация.</w:t>
      </w:r>
    </w:p>
    <w:p w:rsidR="008D1E4C" w:rsidRPr="008D1E4C" w:rsidRDefault="008D1E4C" w:rsidP="008D1E4C">
      <w:pPr>
        <w:pStyle w:val="Header"/>
        <w:pBdr>
          <w:bottom w:val="double" w:sz="4" w:space="31" w:color="auto"/>
        </w:pBdr>
        <w:rPr>
          <w:lang w:eastAsia="en-US"/>
        </w:rPr>
      </w:pPr>
      <w:r w:rsidRPr="008D1E4C">
        <w:rPr>
          <w:lang w:eastAsia="en-US"/>
        </w:rPr>
        <w:t xml:space="preserve">        Вътрешноинституционалната дейност включва още работа по методически обединения, посещение на открити уроци в други училища, както и представяне пред учителите от училището на открити уроци и дейности в ЦОУД. Представиха се 9 открити  практики. От тях имаше 2 бинарни урока. Тази форма на квалификация и обучение се възприе с голяма отговорност от всички учители. Полезността и е свързана със обогатяване на педагогическите умения и развитие на творчески елемент при преподаването.Всички учители от училището имат най- малко 16 часа вътрешноинституционална квалификация.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От административния персонал на обучение са били: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Счетоводител: Работа с програма,,Терес,,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Обновяване на ситемите по Админ про“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ЗАТД .- Създаване на ,,Регистър за архивиране“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Обученията на административния персонал помогнаха за  повишаване на  качеството и организацита на работа, опресниха и утвърдиха  знанията по спецификата на дейностите в тяхната длъжностна характеристика.    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 Политиката на ръководството за обучение на педагогическия персонал  е насочена към избор на такива теми, чрез които да се засили творчеството, иновацията и мотивацията за  повишаване качеството на преподаване и отговорното сътрудничество  между учители и ученици. Насочи вниманието на учителите   към развитие на  емоционална интелигентност с цел създаване и утвърждаване на компетенции за мотивация,  концентрация, активация, реализация  на способностите на учениците.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         През изминалата учебна година бяха назначени със заповед на директора 3 старши учители за наставници. Те изготвиха план по който да работят с колегите, нуждаещи се от наставничество, изпълниха заложеното в плана и отчетоха своята дейност. По този начин, те помогнаха на новоназначените учители по – лесно да се адаптират към спецификата на учителската професия , условията на нашето училище , отговорностите и предизвикателствата на професията. Учителите – наставници получиха възнаграждение за положения труд ,съгласно ВПРЗ на училището.   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Отчет на финансирането за квалификация.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         В бюджета на училище са включени бюджетни средства за повишаване квалификацията на педагогическите специалисти на с</w:t>
      </w:r>
      <w:r w:rsidR="008C3AAF">
        <w:rPr>
          <w:lang w:eastAsia="en-US"/>
        </w:rPr>
        <w:t>тойност 4185лв</w:t>
      </w:r>
      <w:r>
        <w:rPr>
          <w:lang w:eastAsia="en-US"/>
        </w:rPr>
        <w:t>.Определената сума е за календарната година, така, че предстои нейното използване  до края на месец декември.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Използваните средства към момента са на стойност 1028лв.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Учителите от училището участват активно в различни обучения, но през изминалата година се включиха в обучения за които училището не заплаща. Това е причината за непълното използване на средствата. Предстои всички начални учители да преминат обучение по компютърно моделиране и по методика на обучението по БДП, както и изнесено обучение по вътрешноинституционалната квалификация през месец октомври.  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Изготвил :</w:t>
      </w:r>
    </w:p>
    <w:p w:rsidR="00093551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>Директор</w:t>
      </w:r>
    </w:p>
    <w:p w:rsidR="00093551" w:rsidRPr="00877E44" w:rsidRDefault="00093551" w:rsidP="00093551">
      <w:pPr>
        <w:pStyle w:val="Header"/>
        <w:pBdr>
          <w:bottom w:val="double" w:sz="4" w:space="31" w:color="auto"/>
        </w:pBdr>
        <w:tabs>
          <w:tab w:val="left" w:pos="3086"/>
        </w:tabs>
        <w:jc w:val="both"/>
        <w:rPr>
          <w:lang w:eastAsia="en-US"/>
        </w:rPr>
      </w:pPr>
      <w:r>
        <w:rPr>
          <w:lang w:eastAsia="en-US"/>
        </w:rPr>
        <w:t xml:space="preserve">  / Г. Барова/</w:t>
      </w:r>
      <w:bookmarkStart w:id="0" w:name="_GoBack"/>
      <w:bookmarkEnd w:id="0"/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Default="00144307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Default="00C36652" w:rsidP="008305CF">
      <w:pPr>
        <w:ind w:left="-567" w:right="-1283"/>
        <w:jc w:val="center"/>
      </w:pPr>
    </w:p>
    <w:p w:rsidR="00C36652" w:rsidRPr="00877E44" w:rsidRDefault="00C36652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Pr="00877E44" w:rsidRDefault="00144307" w:rsidP="008305CF">
      <w:pPr>
        <w:ind w:left="-567" w:right="-1283"/>
        <w:jc w:val="center"/>
      </w:pPr>
    </w:p>
    <w:p w:rsidR="00144307" w:rsidRDefault="00144307" w:rsidP="008305CF">
      <w:pPr>
        <w:ind w:left="-567" w:right="-1283"/>
        <w:jc w:val="center"/>
        <w:rPr>
          <w:b/>
        </w:rPr>
      </w:pPr>
    </w:p>
    <w:sectPr w:rsidR="0014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CFB"/>
    <w:multiLevelType w:val="hybridMultilevel"/>
    <w:tmpl w:val="47AE5E12"/>
    <w:lvl w:ilvl="0" w:tplc="3B44E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A"/>
    <w:rsid w:val="0005562C"/>
    <w:rsid w:val="000564A1"/>
    <w:rsid w:val="00093551"/>
    <w:rsid w:val="00144307"/>
    <w:rsid w:val="00184B79"/>
    <w:rsid w:val="001B41DA"/>
    <w:rsid w:val="001F1C11"/>
    <w:rsid w:val="001F3730"/>
    <w:rsid w:val="00220554"/>
    <w:rsid w:val="00247228"/>
    <w:rsid w:val="002504F2"/>
    <w:rsid w:val="00293832"/>
    <w:rsid w:val="002A22DB"/>
    <w:rsid w:val="002A732D"/>
    <w:rsid w:val="002C044A"/>
    <w:rsid w:val="0030339B"/>
    <w:rsid w:val="003274BC"/>
    <w:rsid w:val="003C4F8F"/>
    <w:rsid w:val="003F529C"/>
    <w:rsid w:val="00401DB3"/>
    <w:rsid w:val="00414DBC"/>
    <w:rsid w:val="005423EA"/>
    <w:rsid w:val="00613F1F"/>
    <w:rsid w:val="006E2024"/>
    <w:rsid w:val="006F6D83"/>
    <w:rsid w:val="00736061"/>
    <w:rsid w:val="00751CE7"/>
    <w:rsid w:val="007B3F9D"/>
    <w:rsid w:val="007D786A"/>
    <w:rsid w:val="007F5296"/>
    <w:rsid w:val="00805759"/>
    <w:rsid w:val="008305CF"/>
    <w:rsid w:val="00877E44"/>
    <w:rsid w:val="008C3AAF"/>
    <w:rsid w:val="008D1E4C"/>
    <w:rsid w:val="008E7DB3"/>
    <w:rsid w:val="0091022A"/>
    <w:rsid w:val="00933304"/>
    <w:rsid w:val="009444E1"/>
    <w:rsid w:val="009D7630"/>
    <w:rsid w:val="00AD5356"/>
    <w:rsid w:val="00B624B0"/>
    <w:rsid w:val="00B969FE"/>
    <w:rsid w:val="00C2173A"/>
    <w:rsid w:val="00C36652"/>
    <w:rsid w:val="00D73AD9"/>
    <w:rsid w:val="00E23E6D"/>
    <w:rsid w:val="00EA162C"/>
    <w:rsid w:val="00F12654"/>
    <w:rsid w:val="00F23E3F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363E-84C7-4B32-973E-5C1BCAA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205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B3F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1788-45F5-4FD1-BDF4-B9FAACD3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cp:lastPrinted>2019-07-16T07:28:00Z</cp:lastPrinted>
  <dcterms:created xsi:type="dcterms:W3CDTF">2019-07-26T14:20:00Z</dcterms:created>
  <dcterms:modified xsi:type="dcterms:W3CDTF">2019-08-01T17:37:00Z</dcterms:modified>
</cp:coreProperties>
</file>